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楷体_GB2312" w:hAnsi="楷体_GB2312" w:eastAsia="楷体_GB2312" w:cs="楷体_GB2312"/>
          <w:snapToGrid w:val="0"/>
          <w:color w:val="000000"/>
          <w:spacing w:val="-2"/>
          <w:kern w:val="0"/>
          <w:sz w:val="32"/>
          <w:szCs w:val="32"/>
          <w:highlight w:val="none"/>
          <w:lang w:eastAsia="en-US"/>
        </w:rPr>
      </w:pPr>
      <w:r>
        <w:rPr>
          <w:sz w:val="20"/>
        </w:rPr>
        <w:pict>
          <v:group id="_x0000_s1026" o:spid="_x0000_s1026" o:spt="203" style="position:absolute;left:0pt;margin-left:-3.55pt;margin-top:10.2pt;height:120.9pt;width:437.25pt;z-index:251659264;mso-width-relative:page;mso-height-relative:page;" coordorigin="1515,1908" coordsize="8745,2418">
            <o:lock v:ext="edit" aspectratio="f"/>
            <v:line id="_x0000_s1027" o:spid="_x0000_s1027" o:spt="20" style="position:absolute;left:1515;top:4326;height:0;width:8745;" filled="f" stroked="t" coordsize="21600,21600">
              <v:path arrowok="t"/>
              <v:fill on="f" focussize="0,0"/>
              <v:stroke weight="3pt" color="#FF0000"/>
              <v:imagedata o:title=""/>
              <o:lock v:ext="edit" aspectratio="f"/>
            </v:line>
            <v:shape id="_x0000_s1028" o:spid="_x0000_s1028" o:spt="161" type="#_x0000_t161" style="position:absolute;left:1770;top:1908;height:1092;width:8490;" fillcolor="#FF0000" filled="t" stroked="t" coordsize="21600,21600" adj="0">
              <v:path/>
              <v:fill on="t" color2="#FFFFFF" focussize="0,0"/>
              <v:stroke color="#FF0000"/>
              <v:imagedata o:title=""/>
              <o:lock v:ext="edit" aspectratio="f"/>
              <v:textpath on="t" fitshape="t" fitpath="t" trim="t" xscale="f" string="滕州市龙泉街道全国文明城市创建指挥部文件" style="font-family:文鼎CS中宋;font-size:36pt;v-rotate-letters:f;v-same-letter-heights:f;v-text-align:center;"/>
            </v:shape>
          </v:group>
        </w:pict>
      </w:r>
    </w:p>
    <w:p>
      <w:pPr>
        <w:jc w:val="both"/>
        <w:rPr>
          <w:rFonts w:hint="eastAsia" w:ascii="楷体_GB2312" w:hAnsi="楷体_GB2312" w:eastAsia="楷体_GB2312" w:cs="楷体_GB2312"/>
          <w:snapToGrid w:val="0"/>
          <w:color w:val="000000"/>
          <w:spacing w:val="-2"/>
          <w:kern w:val="0"/>
          <w:sz w:val="32"/>
          <w:szCs w:val="32"/>
          <w:highlight w:val="none"/>
          <w:lang w:eastAsia="en-US"/>
        </w:rPr>
      </w:pPr>
    </w:p>
    <w:p>
      <w:pPr>
        <w:jc w:val="both"/>
        <w:rPr>
          <w:rFonts w:hint="eastAsia" w:ascii="楷体_GB2312" w:hAnsi="楷体_GB2312" w:eastAsia="楷体_GB2312" w:cs="楷体_GB2312"/>
          <w:snapToGrid w:val="0"/>
          <w:color w:val="000000"/>
          <w:spacing w:val="-2"/>
          <w:kern w:val="0"/>
          <w:sz w:val="32"/>
          <w:szCs w:val="32"/>
          <w:highlight w:val="none"/>
          <w:lang w:eastAsia="en-US"/>
        </w:rPr>
      </w:pPr>
    </w:p>
    <w:p>
      <w:pPr>
        <w:jc w:val="both"/>
        <w:rPr>
          <w:rFonts w:hint="eastAsia" w:ascii="楷体_GB2312" w:hAnsi="楷体_GB2312" w:eastAsia="楷体_GB2312" w:cs="楷体_GB2312"/>
          <w:snapToGrid w:val="0"/>
          <w:color w:val="000000"/>
          <w:spacing w:val="-2"/>
          <w:kern w:val="0"/>
          <w:sz w:val="32"/>
          <w:szCs w:val="32"/>
          <w:highlight w:val="none"/>
          <w:lang w:eastAsia="en-US"/>
        </w:rPr>
      </w:pPr>
    </w:p>
    <w:p>
      <w:pPr>
        <w:jc w:val="center"/>
        <w:rPr>
          <w:rFonts w:hint="eastAsia" w:ascii="楷体_GB2312" w:hAnsi="楷体_GB2312" w:eastAsia="楷体_GB2312" w:cs="楷体_GB2312"/>
          <w:snapToGrid w:val="0"/>
          <w:color w:val="000000"/>
          <w:spacing w:val="0"/>
          <w:kern w:val="0"/>
          <w:sz w:val="32"/>
          <w:szCs w:val="32"/>
          <w:highlight w:val="none"/>
          <w:lang w:eastAsia="en-US"/>
        </w:rPr>
      </w:pPr>
      <w:r>
        <w:rPr>
          <w:rFonts w:hint="eastAsia" w:ascii="楷体_GB2312" w:hAnsi="楷体_GB2312" w:eastAsia="楷体_GB2312" w:cs="楷体_GB2312"/>
          <w:snapToGrid w:val="0"/>
          <w:color w:val="000000"/>
          <w:spacing w:val="0"/>
          <w:kern w:val="0"/>
          <w:sz w:val="32"/>
          <w:szCs w:val="32"/>
          <w:highlight w:val="none"/>
          <w:lang w:eastAsia="en-US"/>
        </w:rPr>
        <w:t>滕</w:t>
      </w:r>
      <w:r>
        <w:rPr>
          <w:rFonts w:hint="eastAsia" w:ascii="楷体_GB2312" w:hAnsi="楷体_GB2312" w:eastAsia="楷体_GB2312" w:cs="楷体_GB2312"/>
          <w:snapToGrid w:val="0"/>
          <w:color w:val="000000"/>
          <w:spacing w:val="0"/>
          <w:kern w:val="0"/>
          <w:sz w:val="32"/>
          <w:szCs w:val="32"/>
          <w:highlight w:val="none"/>
          <w:lang w:eastAsia="zh-CN"/>
        </w:rPr>
        <w:t>龙文</w:t>
      </w:r>
      <w:r>
        <w:rPr>
          <w:rFonts w:hint="eastAsia" w:ascii="楷体_GB2312" w:hAnsi="楷体_GB2312" w:eastAsia="楷体_GB2312" w:cs="楷体_GB2312"/>
          <w:snapToGrid w:val="0"/>
          <w:color w:val="000000"/>
          <w:spacing w:val="0"/>
          <w:kern w:val="0"/>
          <w:sz w:val="32"/>
          <w:szCs w:val="32"/>
          <w:highlight w:val="none"/>
          <w:lang w:eastAsia="en-US"/>
        </w:rPr>
        <w:t>创指〔2024</w:t>
      </w:r>
      <w:r>
        <w:rPr>
          <w:rFonts w:hint="eastAsia" w:ascii="楷体_GB2312" w:eastAsia="楷体_GB2312"/>
          <w:bCs/>
          <w:color w:val="auto"/>
          <w:sz w:val="32"/>
        </w:rPr>
        <w:t>〕</w:t>
      </w:r>
      <w:r>
        <w:rPr>
          <w:rFonts w:hint="eastAsia" w:ascii="楷体_GB2312" w:eastAsia="楷体_GB2312"/>
          <w:bCs/>
          <w:color w:val="auto"/>
          <w:sz w:val="32"/>
          <w:lang w:val="en-US" w:eastAsia="zh-CN"/>
        </w:rPr>
        <w:t>1</w:t>
      </w:r>
      <w:r>
        <w:rPr>
          <w:rFonts w:hint="eastAsia" w:ascii="楷体_GB2312" w:eastAsia="楷体_GB2312"/>
          <w:bCs/>
          <w:color w:val="auto"/>
          <w:sz w:val="32"/>
        </w:rPr>
        <w:t>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3" w:lineRule="auto"/>
        <w:jc w:val="both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6" w:lineRule="exact"/>
        <w:jc w:val="both"/>
        <w:textAlignment w:val="baseline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3" w:lineRule="auto"/>
        <w:jc w:val="both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4" w:lineRule="auto"/>
        <w:jc w:val="both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4" w:lineRule="auto"/>
        <w:jc w:val="both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关于印发《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龙泉街道全国文明城市创建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巩固提升行动实施方案》的通知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</w:rPr>
        <w:t>各片区、</w:t>
      </w:r>
      <w:r>
        <w:rPr>
          <w:rFonts w:hint="eastAsia" w:ascii="仿宋_GB2312" w:eastAsia="仿宋_GB2312"/>
          <w:sz w:val="32"/>
          <w:lang w:val="en-US" w:eastAsia="zh-CN"/>
        </w:rPr>
        <w:t>村（网格党支部）</w:t>
      </w:r>
      <w:r>
        <w:rPr>
          <w:rFonts w:hint="eastAsia"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  <w:lang w:val="en-US" w:eastAsia="zh-CN"/>
        </w:rPr>
        <w:t>机关各科室，</w:t>
      </w:r>
      <w:r>
        <w:rPr>
          <w:rFonts w:hint="eastAsia" w:ascii="仿宋_GB2312" w:eastAsia="仿宋_GB2312"/>
          <w:sz w:val="32"/>
        </w:rPr>
        <w:t>街直各部门</w:t>
      </w:r>
      <w:r>
        <w:rPr>
          <w:rFonts w:hint="eastAsia" w:ascii="仿宋_GB2312" w:eastAsia="仿宋_GB2312"/>
          <w:sz w:val="32"/>
          <w:lang w:eastAsia="zh-CN"/>
        </w:rPr>
        <w:t>（</w:t>
      </w:r>
      <w:r>
        <w:rPr>
          <w:rFonts w:hint="eastAsia" w:ascii="仿宋_GB2312" w:eastAsia="仿宋_GB2312"/>
          <w:sz w:val="32"/>
        </w:rPr>
        <w:t>单位</w:t>
      </w:r>
      <w:r>
        <w:rPr>
          <w:rFonts w:hint="eastAsia" w:ascii="仿宋_GB2312" w:eastAsia="仿宋_GB2312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现将《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龙泉街道全国文明城市创建</w:t>
      </w:r>
      <w:r>
        <w:rPr>
          <w:rFonts w:hint="eastAsia" w:ascii="仿宋_GB2312" w:hAnsi="仿宋_GB2312" w:eastAsia="仿宋_GB2312" w:cs="仿宋_GB2312"/>
          <w:sz w:val="32"/>
          <w:szCs w:val="32"/>
        </w:rPr>
        <w:t>巩固提升行动实施方案》印发给你们，请结合实际，认真抓好贯彻落实。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righ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龙泉街道</w:t>
      </w:r>
      <w:r>
        <w:rPr>
          <w:rFonts w:hint="eastAsia" w:ascii="仿宋_GB2312" w:hAnsi="仿宋_GB2312" w:eastAsia="仿宋_GB2312" w:cs="仿宋_GB2312"/>
          <w:sz w:val="32"/>
          <w:szCs w:val="32"/>
        </w:rPr>
        <w:t>全国文明城市创建指挥部办公室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120" w:firstLineChars="1600"/>
        <w:jc w:val="both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2024年2月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5" w:type="default"/>
          <w:pgSz w:w="11906" w:h="16839"/>
          <w:pgMar w:top="1431" w:right="1512" w:bottom="1447" w:left="1586" w:header="0" w:footer="1208" w:gutter="0"/>
          <w:pgNumType w:fmt="decimal"/>
          <w:cols w:space="720" w:num="1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龙泉街道全国文明城市创建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巩固提升行动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实施方案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为进一步增强全国文明城市创建实效，全面提升城市文明程度和市民文明素质，对标全国文明城市创建最新任务要求，结合实际，现制定《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龙泉街道全国文明城市创建</w:t>
      </w:r>
      <w:r>
        <w:rPr>
          <w:rFonts w:hint="eastAsia" w:ascii="仿宋_GB2312" w:hAnsi="仿宋_GB2312" w:eastAsia="仿宋_GB2312" w:cs="仿宋_GB2312"/>
          <w:sz w:val="32"/>
          <w:szCs w:val="32"/>
        </w:rPr>
        <w:t>巩固提升行动实施方案》如下：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一、工作目标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以习近平新时代中国特色社会主义思想为指导，深入学习贯彻中宣部《改进创新精神文明创建工作方案》精神，牢固树立“人民至上”、创建为民的理念，在突出精神文明特色、注重为民靠民育民、提升城市治理水平、保持创建常态长效上下功夫。通过在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街道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范围内实施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全国文明城市创建</w:t>
      </w:r>
      <w:r>
        <w:rPr>
          <w:rFonts w:hint="eastAsia" w:ascii="仿宋_GB2312" w:hAnsi="仿宋_GB2312" w:eastAsia="仿宋_GB2312" w:cs="仿宋_GB2312"/>
          <w:sz w:val="32"/>
          <w:szCs w:val="32"/>
        </w:rPr>
        <w:t>巩固提升行动，落实各创建网格属地责任，充分激发群众参与积极性、主动性、创造性，持续改善市容市貌、规范公共秩序、倡导文明礼仪、提升市民素质和城市形象，不断增强人民群众的获得感、幸福感、安全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二、时间安排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行动自即日起启动，至第七届全国文明城市创建周期结束，并长期坚持。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三、主要内容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重点实施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全国文明城市创建</w:t>
      </w:r>
      <w:r>
        <w:rPr>
          <w:rFonts w:hint="eastAsia" w:ascii="仿宋_GB2312" w:hAnsi="仿宋_GB2312" w:eastAsia="仿宋_GB2312" w:cs="仿宋_GB2312"/>
          <w:sz w:val="32"/>
          <w:szCs w:val="32"/>
        </w:rPr>
        <w:t>“七项巩固提升行动”：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（一）市容环境巩固提升行动。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1.加大城市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社区小区、</w:t>
      </w:r>
      <w:r>
        <w:rPr>
          <w:rFonts w:hint="eastAsia" w:ascii="仿宋_GB2312" w:hAnsi="仿宋_GB2312" w:eastAsia="仿宋_GB2312" w:cs="仿宋_GB2312"/>
          <w:sz w:val="32"/>
          <w:szCs w:val="32"/>
        </w:rPr>
        <w:t>背街小巷、商业大街的清洁力度和机械化作业率，做到干净整洁、路见本色。全面排查、常态化整治城区卫生死角盲点，彻底清理积存的生活垃圾、废弃杂物。2.按照分类标准及环卫要求规范设置垃圾收集容器，确保垃圾箱（筒）完好无破损，周边无污迹，垃圾不满溢，实行全密闭运输，无抛洒滴漏污染路面现象。3.加强非法小广告的日常管理和执法工作，全面清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社区小区、</w:t>
      </w:r>
      <w:r>
        <w:rPr>
          <w:rFonts w:hint="eastAsia" w:ascii="仿宋_GB2312" w:hAnsi="仿宋_GB2312" w:eastAsia="仿宋_GB2312" w:cs="仿宋_GB2312"/>
          <w:sz w:val="32"/>
          <w:szCs w:val="32"/>
        </w:rPr>
        <w:t>背街小巷、商业大街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重要场所的小广告。4.强化市政基础设施、园林绿化设施、体育健身设施管护，着力解决重点点位及周边绿化缺失、路面破损、排水不畅、设施损毁等问题。逐个路段、逐个点位排查公益广告，及时更换修复脏污、破损、被覆盖、过时效的公益广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责任单位：环卫办、物业办、综合执法办、城建办、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宣传科</w:t>
      </w:r>
      <w:r>
        <w:rPr>
          <w:rFonts w:hint="eastAsia" w:ascii="楷体_GB2312" w:hAnsi="楷体_GB2312" w:eastAsia="楷体_GB2312" w:cs="楷体_GB2312"/>
          <w:sz w:val="32"/>
          <w:szCs w:val="32"/>
        </w:rPr>
        <w:t>、龙泉执法中队、交警四中队、派出所，各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片区。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（二）文明交通巩固提升行动。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1.强化公安交警、综合执法等部门联合执法机制，清理私设路桩、地锁和私划泊位现象，最大限度释放停车资源。对公共区域私占停车位，侵占绿化带、人行道，“僵尸车”、改造经营车等问题进行清理整治，优化提升静态交通秩序。2.强化路面执法管理，落实重点路口、路段文明交通劝导常态机制，重点治理机动车不礼让行人、车窗抛物，非机动车闯红灯、逆向行驶、越线停车，行人乱穿行、闯红灯、跨越道路隔离栏、道路上散发小广告等行为。3.全面整治营运车辆乱停乱靠、争抢客源，快递外卖配送人员闯红灯、乱穿行等突出问题，维护良好交通秩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责任单位：综合执法办、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派出所、</w:t>
      </w:r>
      <w:r>
        <w:rPr>
          <w:rFonts w:hint="eastAsia" w:ascii="楷体_GB2312" w:hAnsi="楷体_GB2312" w:eastAsia="楷体_GB2312" w:cs="楷体_GB2312"/>
          <w:sz w:val="32"/>
          <w:szCs w:val="32"/>
        </w:rPr>
        <w:t>交警四中队、龙泉执法中队，各片区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（三）公共秩序巩固提升行动。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1.在公园广场、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便民服务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大厅、商场超市等各类公共场所设立文明提示牌、警示牌，广泛开展文明劝导志愿服务，引导市民自觉遵守秩序，有序排队，爱护环境，有效杜绝大声喧哗、污言秽语、投掷杂物、寻衅滋事等现象。2.着力解决社区小区环境卫生脏乱差、物业管理不到位、基础设施损毁、垃圾容器破损严重、服务功能不完善、创建氛围不浓厚等问题，重点清理整治车辆乱停乱放、杂物堵塞楼道、垃圾乱扔乱倒、侵占消防通道和无障碍设施、消防设施缺失损毁等现象。3.开展“文明养犬”集中整治行动，划定重点管理区域，依法查处整治遛狗不牵绳、粪便不清理、饲养危险犬只等违法行为，加强文明养犬宣传劝导，引导市民文明、规范养犬。4.在餐饮行业开展“文明餐桌”行动，充分设置公勺公筷、文明用餐、节俭养德公益广告，推广实行“分餐制、公勺公筷双筷制”，摒弃“一双筷子吃全桌”“餐饮浪费”等陋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责任单位：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宣传科</w:t>
      </w:r>
      <w:r>
        <w:rPr>
          <w:rFonts w:hint="eastAsia" w:ascii="楷体_GB2312" w:hAnsi="楷体_GB2312" w:eastAsia="楷体_GB2312" w:cs="楷体_GB2312"/>
          <w:sz w:val="32"/>
          <w:szCs w:val="32"/>
        </w:rPr>
        <w:t>、综合执法办、城建办、物业办、环卫办、应急办、文旅体办、商务和投资促进办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sz w:val="32"/>
          <w:szCs w:val="32"/>
        </w:rPr>
        <w:t>派出所、龙泉执法中队、市场监管所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，</w:t>
      </w:r>
      <w:r>
        <w:rPr>
          <w:rFonts w:hint="eastAsia" w:ascii="楷体_GB2312" w:hAnsi="楷体_GB2312" w:eastAsia="楷体_GB2312" w:cs="楷体_GB2312"/>
          <w:sz w:val="32"/>
          <w:szCs w:val="32"/>
        </w:rPr>
        <w:t>各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片区。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（四）经营秩序巩固提升行动。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1.加强农贸（集贸）市场日常管理，整治卫生脏乱差，乱摆乱放，市场外溢，占道经营，消防设施缺失损毁，出售过期、变质、伪劣食品等现象，进一步完善基础设施，改善环境面貌，规范经营秩序。2.压实沿街商户特别是餐饮单位“门前三包”责任，加强对店外经营、乱堆乱放、车辆乱停等问题常态化整治管理，规范餐厨垃圾、泔水等收集处理，确保门前整洁有序，无垃圾污物。3.科学清理整治马路市场、流动摊贩占道经营问题，推进“疏堵结合、引摊入市”，对相关区域落实“定时定点、人走场清”规范化管理，杜绝堵塞道路交通、破坏环境卫生等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责任单位：综合执法办、龙泉执法中队、市场监管所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、宣传科</w:t>
      </w:r>
      <w:r>
        <w:rPr>
          <w:rFonts w:hint="eastAsia" w:ascii="楷体_GB2312" w:hAnsi="楷体_GB2312" w:eastAsia="楷体_GB2312" w:cs="楷体_GB2312"/>
          <w:sz w:val="32"/>
          <w:szCs w:val="32"/>
        </w:rPr>
        <w:t>，各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片区。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（五）未成年人思想道德建设巩固提升行动。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1.深入开展校园周边环境整治行动，优化校园周边环境卫生和公共秩序，确保中小学校周边200米内无互联网上网服务营业场所和电子游戏经营场所，无歌舞厅等经营性娱乐场所。取缔校园周边从事非法经营活动的游商和无证照摊点，杜绝“三无食品”，无恐怖、迷信、低俗、色情玩具、文具、饰品和出版物销售。2.持续提升未成年人活动阵地建设管理水平，对照创建标准，全面排查少年宫、儿童活动中心、公共文化设施、未成年人心理健康辅导中心及社区未成年人活动场所、家长学校等点位，补齐软硬件短板，确保场所设施齐全，正常开放，常态化开展活动。3.加强中小学校文明创建工作，强化氛围营造，广泛宣传展示“新时代好少年”等未成年人先进典型事迹，利用各类校园宣传阵地展示文明校园创建、校风校训、校园文化、师德师风等内容。深入推进“小手拉大手”教育活动，围绕文明礼仪、交通安全等主题加强学生教育引导，通过学生带动家庭、社会，进一步提高市民文明素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责任单位：联合学区、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宣传科</w:t>
      </w:r>
      <w:r>
        <w:rPr>
          <w:rFonts w:hint="eastAsia" w:ascii="楷体_GB2312" w:hAnsi="楷体_GB2312" w:eastAsia="楷体_GB2312" w:cs="楷体_GB2312"/>
          <w:sz w:val="32"/>
          <w:szCs w:val="32"/>
        </w:rPr>
        <w:t>、团工委、妇联、科协办、文旅体办、派出所、司法所、龙泉执法中队、市场监管所、龙泉社区卫生服务中心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（六）城乡一体创建巩固提升行动。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1.深入实施乡村文明行动，持续开展城乡结合部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、老旧小区等重点区域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环境秩序综合整治，建立健全长效管理机制，推动镇域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路域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提档升级。2.深化新时代文明实践阵地规范化建设，完善基础设施，规范内部管理，提升服务质量，结合文明城市创建广泛开展志愿服务活动，深入涵育文明新风，大力倡树新时代美德健康生活方式。3.持续开展“反对浪费、文明办事”移风易俗行动，遏制铺张浪费、高价彩礼、高额随礼、婚闹恶俗、封建迷信等陈规陋习，广泛开展文明婚丧志愿服务，推动形成崇尚节俭、文明办事的鲜明导向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责任单位：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宣传科</w:t>
      </w:r>
      <w:r>
        <w:rPr>
          <w:rFonts w:hint="eastAsia" w:ascii="楷体_GB2312" w:hAnsi="楷体_GB2312" w:eastAsia="楷体_GB2312" w:cs="楷体_GB2312"/>
          <w:sz w:val="32"/>
          <w:szCs w:val="32"/>
        </w:rPr>
        <w:t>、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民政科、</w:t>
      </w:r>
      <w:r>
        <w:rPr>
          <w:rFonts w:hint="eastAsia" w:ascii="楷体_GB2312" w:hAnsi="楷体_GB2312" w:eastAsia="楷体_GB2312" w:cs="楷体_GB2312"/>
          <w:sz w:val="32"/>
          <w:szCs w:val="32"/>
        </w:rPr>
        <w:t>环卫办、综合执法办、龙泉执法中队，各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片区。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（七）群众满意度巩固提升行动。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1.组织开展文明创建问效问需“户户到”遍访行动，向市民宣传创建成果、征询创建意见建议。集中梳理12345市长热线回访重点清单，开展责任单位“再访”行动，集中做好“不满意”问题化解工作。2.组织社区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（村）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、中小学校，分级分类召开专题会议，向党员干部、市民群众宣传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全国文明城市创建</w:t>
      </w:r>
      <w:r>
        <w:rPr>
          <w:rFonts w:hint="eastAsia" w:ascii="仿宋_GB2312" w:hAnsi="仿宋_GB2312" w:eastAsia="仿宋_GB2312" w:cs="仿宋_GB2312"/>
          <w:sz w:val="32"/>
          <w:szCs w:val="32"/>
        </w:rPr>
        <w:t>以来市容市貌、人居环境、市民素质方面的变化成效，宣传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全国文明城市创建</w:t>
      </w:r>
      <w:r>
        <w:rPr>
          <w:rFonts w:hint="eastAsia" w:ascii="仿宋_GB2312" w:hAnsi="仿宋_GB2312" w:eastAsia="仿宋_GB2312" w:cs="仿宋_GB2312"/>
          <w:sz w:val="32"/>
          <w:szCs w:val="32"/>
        </w:rPr>
        <w:t>的知识要点、文明礼仪。3.围绕文明城市“问卷调查”测评内容，制定宣传方案，采取志愿服务、举办主题活动、发放倡议书和宣传品等形式，持续开展集中宣传活动，提升群众知晓率和满意度。4.抓好常态化文明宣传引导，各小区配齐配全并利用好“文明小喇叭”，对市民常态化开展文明提醒和文明教育。各社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（村）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充分利用小区居民微信群，积极宣推创城宣传报道、文明常识传播和文明提醒劝导等方面的宣传信息，进一步提高宣传市民、教育市民的效果。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责任单位：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机关各科室、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街直各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部门、各片区。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四、工作要求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1.强化组织领导。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各单位要高度重视，加强领导，把巩固提升行动提到重要日程，摆上突出位置，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细化工作目标</w:t>
      </w:r>
      <w:r>
        <w:rPr>
          <w:rFonts w:hint="eastAsia" w:ascii="仿宋_GB2312" w:hAnsi="仿宋_GB2312" w:eastAsia="仿宋_GB2312" w:cs="仿宋_GB2312"/>
          <w:sz w:val="32"/>
          <w:szCs w:val="32"/>
        </w:rPr>
        <w:t>，层层分解任务，拿出实在办法，形成目标明确、责任到人、措施具体、考核有力的工作体系，一件一件地抓细抓好抓实，确保有声势、有力度、有效果。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2.严格责任落实。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街道组织科、纪工委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、督查科、</w:t>
      </w:r>
      <w:r>
        <w:rPr>
          <w:rFonts w:hint="eastAsia" w:ascii="仿宋_GB2312" w:hAnsi="仿宋_GB2312" w:eastAsia="仿宋_GB2312" w:cs="仿宋_GB2312"/>
          <w:sz w:val="32"/>
          <w:szCs w:val="32"/>
        </w:rPr>
        <w:t>创城办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</w:rPr>
        <w:t>对任务落实情况进行督查，发现问题及时下发整改通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</w:rPr>
        <w:t>，各级各责任单位要及时将工作开展情况报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街道创城办</w:t>
      </w:r>
      <w:r>
        <w:rPr>
          <w:rFonts w:hint="eastAsia" w:ascii="仿宋_GB2312" w:hAnsi="仿宋_GB2312" w:eastAsia="仿宋_GB2312" w:cs="仿宋_GB2312"/>
          <w:sz w:val="32"/>
          <w:szCs w:val="32"/>
        </w:rPr>
        <w:t>。对在巩固提升行动中敷衍塞责、无进展无实效、落实不到位的单位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片区、村（网格党支部）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，将进行通报，并实行问责问效，推动各项创建工作落到实处。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3.把牢工作原则。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级各单位要充分掌握创建实际和群众意愿，改进工作方法，科学精准施策，在创建工作中做好群众的宣传引导和解疑释惑，防止“运动式”“一刀切”、简单粗暴等问题，杜绝形式主义和官僚主义，坚决避免因工作失误引发不必要的负面舆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both"/>
        <w:textAlignment w:val="baseline"/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营造浓厚氛围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片区、村（网格党支部）要在原有专题专栏基础上，保持文明城市创建工作舆论宣传力度。要大力宣传活动中涌现出的好典型、好做法，发动广大干部群众积极参与到活动中来，营造人人参与、共建家园的良好社会氛围。</w:t>
      </w:r>
    </w:p>
    <w:sectPr>
      <w:footerReference r:id="rId6" w:type="default"/>
      <w:pgSz w:w="11906" w:h="16839"/>
      <w:pgMar w:top="1431" w:right="1560" w:bottom="1328" w:left="1559" w:header="0" w:footer="1208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7B97B3C-B091-440B-A468-3FB900DAFDC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044F6A7-75CA-4AA6-99D9-032FFF72F4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A0B3FF6D-6702-49F7-8A5E-060CE9DC7C6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3E8916A-93AD-4E0A-9022-6566966A764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779A9892-3170-49ED-A43B-82E2A9738ED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75204146-35D1-4C7E-B630-51A42C3AC6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213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45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zY3NzljZDI4MDhhOGJiZDQzMDc3ZmViZDYyNjQwYWIifQ=="/>
  </w:docVars>
  <w:rsids>
    <w:rsidRoot w:val="00000000"/>
    <w:rsid w:val="0484593E"/>
    <w:rsid w:val="06211027"/>
    <w:rsid w:val="0ADE0153"/>
    <w:rsid w:val="0E103ED4"/>
    <w:rsid w:val="0FC96098"/>
    <w:rsid w:val="106D1FBC"/>
    <w:rsid w:val="13893C35"/>
    <w:rsid w:val="16504596"/>
    <w:rsid w:val="1E9B481C"/>
    <w:rsid w:val="222F59A7"/>
    <w:rsid w:val="224B5CCF"/>
    <w:rsid w:val="25445C0D"/>
    <w:rsid w:val="29222CA0"/>
    <w:rsid w:val="29BD0B83"/>
    <w:rsid w:val="2A731D68"/>
    <w:rsid w:val="2D531028"/>
    <w:rsid w:val="2EF44D13"/>
    <w:rsid w:val="33B43A4D"/>
    <w:rsid w:val="33E83C08"/>
    <w:rsid w:val="3ECA6D2C"/>
    <w:rsid w:val="41076015"/>
    <w:rsid w:val="477A33D0"/>
    <w:rsid w:val="47941C85"/>
    <w:rsid w:val="4BB25AB6"/>
    <w:rsid w:val="4D842F3B"/>
    <w:rsid w:val="565B29D9"/>
    <w:rsid w:val="56D976B4"/>
    <w:rsid w:val="58093FC9"/>
    <w:rsid w:val="5915699E"/>
    <w:rsid w:val="5A932270"/>
    <w:rsid w:val="5C8207EE"/>
    <w:rsid w:val="5FB75393"/>
    <w:rsid w:val="62880007"/>
    <w:rsid w:val="63C47160"/>
    <w:rsid w:val="6D2207D1"/>
    <w:rsid w:val="6E032E11"/>
    <w:rsid w:val="6E6A4925"/>
    <w:rsid w:val="6F1E7F02"/>
    <w:rsid w:val="71BB4266"/>
    <w:rsid w:val="79E051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2024-02-23T10:39:00Z</dcterms:created>
  <dc:creator>Kingsoft-PDF</dc:creator>
  <cp:lastModifiedBy>随风</cp:lastModifiedBy>
  <cp:lastPrinted>2024-02-25T08:22:00Z</cp:lastPrinted>
  <dcterms:modified xsi:type="dcterms:W3CDTF">2024-03-20T02:18:04Z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2024-02-23T10:39:58Z</vt:filetime>
  </property>
  <property fmtid="{D5CDD505-2E9C-101B-9397-08002B2CF9AE}" pid="4" name="UsrData">
    <vt:lpwstr>65d8057c49c6c1001f5785c0wl</vt:lpwstr>
  </property>
  <property fmtid="{D5CDD505-2E9C-101B-9397-08002B2CF9AE}" pid="5" name="KSOProductBuildVer">
    <vt:lpwstr>2052-12.1.0.16388</vt:lpwstr>
  </property>
  <property fmtid="{D5CDD505-2E9C-101B-9397-08002B2CF9AE}" pid="6" name="ICV">
    <vt:lpwstr>99E32D3740A348C684E4FE31D131F770_13</vt:lpwstr>
  </property>
</Properties>
</file>